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5427822" w:name="document"/>
    <w:bookmarkEnd w:id="65427822"/>
    <w:p/>
    <w:p>
      <w:pPr>
        <w:widowControl w:val="on"/>
        <w:pBdr/>
        <w:spacing w:before="0" w:after="280" w:line="240" w:lineRule="auto"/>
        <w:ind w:left="0" w:right="0"/>
        <w:jc w:val="left"/>
      </w:pPr>
      <w:r>
        <w:rPr>
          <w:rFonts w:ascii="Arial" w:hAnsi="Arial" w:eastAsia="Arial" w:cs="Arial"/>
          <w:color w:val="363A40"/>
          <w:sz w:val="24"/>
          <w:szCs w:val="24"/>
        </w:rPr>
        <w:t xml:space="preserve">Dokument-ID: 1186796 | Karin Zahiragic - Andrea
Weisert | Muster | Textbaustein</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Wertsicherung: Änderungen nach dem 5. MILG</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Vollanwendungsbereich MRG, Richtwertmietzins</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Hauptmietzins wird „wertgesichert gem § 1
Abs 2 und Abs 3 MieWeG“ vereinbart.</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Hauptmietzins wird nach § 5 Richtwertgesetz
(RichtWG) unter Zugrundelegung des Richtwertmietzinses, sowie Zu-
und Abschläge und eines Lagezuschlags berechnet.</w:t>
      </w:r>
    </w:p>
    <w:p>
      <w:pPr>
        <w:widowControl w:val="on"/>
        <w:pBdr/>
        <w:spacing w:before="140" w:after="240" w:line="288" w:lineRule="auto"/>
        <w:ind w:left="0" w:right="0"/>
        <w:jc w:val="left"/>
      </w:pPr>
      <w:r>
        <w:rPr>
          <w:rFonts w:ascii="Arial" w:hAnsi="Arial" w:eastAsia="Arial" w:cs="Arial"/>
          <w:color w:val="000000"/>
          <w:sz w:val="20"/>
          <w:szCs w:val="20"/>
        </w:rPr>
        <w:t xml:space="preserve">Ausgangsbasis für die Wertsicherung ist der im Zeitpunkt des
Vertragsabschlusses wirksame Richtwert.</w:t>
      </w:r>
    </w:p>
    <w:p>
      <w:pPr>
        <w:widowControl w:val="on"/>
        <w:pBdr/>
        <w:spacing w:before="140" w:after="240" w:line="288" w:lineRule="auto"/>
        <w:ind w:left="0" w:right="0"/>
        <w:jc w:val="left"/>
      </w:pPr>
      <w:r>
        <w:rPr>
          <w:rFonts w:ascii="Arial" w:hAnsi="Arial" w:eastAsia="Arial" w:cs="Arial"/>
          <w:color w:val="000000"/>
          <w:sz w:val="20"/>
          <w:szCs w:val="20"/>
        </w:rPr>
        <w:t xml:space="preserve">Wenn aufgrund gesetzlicher Änderungen die Wertsicherung nicht
mehr möglich sein sollte, erfolgt eine solche nach dem von der
Bundesanstalt Statistik Austria monatlich verlautbarten
Verbraucherpreisindex 2020 oder dem an seine Stelle tretenden
Index.</w:t>
      </w:r>
    </w:p>
    <w:p>
      <w:pPr>
        <w:widowControl w:val="on"/>
        <w:pBdr/>
        <w:spacing w:before="140" w:after="240" w:line="288" w:lineRule="auto"/>
        <w:ind w:left="0" w:right="0"/>
        <w:jc w:val="left"/>
      </w:pPr>
      <w:r>
        <w:rPr>
          <w:rFonts w:ascii="Arial" w:hAnsi="Arial" w:eastAsia="Arial" w:cs="Arial"/>
          <w:color w:val="000000"/>
          <w:sz w:val="20"/>
          <w:szCs w:val="20"/>
        </w:rPr>
        <w:t xml:space="preserve">Indexschwankungen bleiben bis 3 % unberücksichtigt.</w:t>
      </w:r>
    </w:p>
    <w:p>
      <w:pPr>
        <w:widowControl w:val="on"/>
        <w:pBdr/>
        <w:spacing w:before="140" w:after="240" w:line="288" w:lineRule="auto"/>
        <w:ind w:left="0" w:right="0"/>
        <w:jc w:val="left"/>
      </w:pPr>
      <w:r>
        <w:rPr>
          <w:rFonts w:ascii="Arial" w:hAnsi="Arial" w:eastAsia="Arial" w:cs="Arial"/>
          <w:color w:val="000000"/>
          <w:sz w:val="20"/>
          <w:szCs w:val="20"/>
        </w:rPr>
        <w:t xml:space="preserve">Die durch die Wertsicherung eingetretene Erhöhung des Mietzinses
wird dem Mieter vom Vermieter schriftlich bekannt gegeben, dies
spätestens 14 Tage vor dem Zeitraum, zu dem dann der Mieter zur
Bezahlung des erhöhten Betrages verpflichtet ist.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Teilanwendungsbereich MRG</w:t>
      </w:r>
    </w:p>
    <w:p>
      <w:pPr>
        <w:widowControl w:val="on"/>
        <w:pBdr/>
        <w:spacing w:before="140" w:after="240" w:line="288" w:lineRule="auto"/>
        <w:ind w:left="0" w:right="0"/>
        <w:jc w:val="left"/>
      </w:pPr>
      <w:r>
        <w:rPr>
          <w:rFonts w:ascii="Arial" w:hAnsi="Arial" w:eastAsia="Arial" w:cs="Arial"/>
          <w:color w:val="000000"/>
          <w:sz w:val="20"/>
          <w:szCs w:val="20"/>
        </w:rPr>
        <w:t xml:space="preserve">Der Hauptmietzins beträgt monatlich EUR … zuzüglich
Umsatzsteuer und wird „wertgesichert gem § 1 Abs 2 des
Mieten-Wertsicherungsgesetzes“ vereinbart:</w:t>
      </w:r>
    </w:p>
    <w:p>
      <w:pPr>
        <w:widowControl w:val="on"/>
        <w:pBdr/>
        <w:spacing w:before="140" w:after="240" w:line="288" w:lineRule="auto"/>
        <w:ind w:left="0" w:right="0"/>
        <w:jc w:val="left"/>
      </w:pPr>
      <w:r>
        <w:rPr>
          <w:rFonts w:ascii="Arial" w:hAnsi="Arial" w:eastAsia="Arial" w:cs="Arial"/>
          <w:color w:val="000000"/>
          <w:sz w:val="20"/>
          <w:szCs w:val="20"/>
        </w:rPr>
        <w:t xml:space="preserve">Der Hauptmietzins wird auf den von der Statistik Austria
verlautbarten monatlichen Index der Verbraucherpreise 2020 oder –
sollte dieser Index nicht mehr verlautbart werden – einen an seine
Stelle tretenden Index wertbezogen. Ausgangsbasis für diese
Wertsicherung ist die für den Monat … errechnete endgültig
verlautbarte Indexzahl.</w:t>
      </w:r>
    </w:p>
    <w:p>
      <w:pPr>
        <w:widowControl w:val="on"/>
        <w:pBdr/>
        <w:spacing w:before="140" w:after="240" w:line="288" w:lineRule="auto"/>
        <w:ind w:left="0" w:right="0"/>
        <w:jc w:val="left"/>
      </w:pPr>
      <w:r>
        <w:rPr>
          <w:rFonts w:ascii="Arial" w:hAnsi="Arial" w:eastAsia="Arial" w:cs="Arial"/>
          <w:color w:val="000000"/>
          <w:sz w:val="20"/>
          <w:szCs w:val="20"/>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1346265" w:name="note1"/>
            <w:bookmarkEnd w:id="31346265"/>
            <w:bookmarkStart w:id="4974156851603" w:name="note1"/>
            <w:r>
              <w:rPr>
                <w:rFonts w:ascii="Arial" w:hAnsi="Arial" w:eastAsia="Arial" w:cs="Arial"/>
                <w:color w:val="000000"/>
                <w:position w:val="0"/>
                <w:sz w:val="20"/>
                <w:szCs w:val="20"/>
              </w:rPr>
              <w:t xml:space="preserve">[1]</w:t>
            </w:r>
            <w:bookmarkEnd w:id="497415685160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Mit einer Wertsicherungsvereinbarung soll ein Ausgleich für die
Inflation geschaffen werden. Eine Erhöhung des Mietzinses aufgrund
der Wertsicherung ist jedenfalls nur möglich, wenn die
Wertsicherung im Mietvertrag entsprechend vereinbart wurde. Welcher
Index vereinbart und wie die Indexklausel formuliert wird, ist
gesetzlich nicht geregelt. Üblicherweise wird in einer
Wertsicherungsvereinbarung der von der Statistik Austria zum
Zeitpunkt des Vertragsabschlusses gültige veröffentlichte aktuelle
Verbraucherpreisindex (VPI 2020) als Grundlage herangezogen. Häufig
wird vertraglich auch geregelt, dass Indexschwankungen bis zu
3 % oder 5 % unberücksichtigt bleiben.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5420226" w:name="note2"/>
            <w:bookmarkEnd w:id="95420226"/>
            <w:bookmarkStart w:id="5075591401407" w:name="note2"/>
            <w:r>
              <w:rPr>
                <w:rFonts w:ascii="Arial" w:hAnsi="Arial" w:eastAsia="Arial" w:cs="Arial"/>
                <w:color w:val="000000"/>
                <w:position w:val="0"/>
                <w:sz w:val="20"/>
                <w:szCs w:val="20"/>
              </w:rPr>
              <w:t xml:space="preserve">[2]</w:t>
            </w:r>
            <w:bookmarkEnd w:id="5075591401407"/>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Wertsicherung im Vollanwendungsbereich MRG,
Richtwertmietzins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Mit dem 5. MILG ist auch § 5 Abs 2 Richtwertgesetz
geändert worden. Diese Änderung sieht im Wesentlichen vor, dass die
gesetzliche Valorisierung der mietrechtlichen Kategoriebeträge und
der mietrechtlichen Richtwerte mit der Systematik des MieWeG
gleichgeschaltet wird. Dies heißt: Es gibt im Jahr 2026 eine
Anhebungsgrenze von 1 % und im Jahr 2027 eine solche von
2 % gibt. Ab dem Jahr 2028 wird bei einer Vorjahresinflation
von mehr als 3 % der Teil, der 3 % übersteigt, im Rahmen
der Mietzinserhöhung nur zur Hälfte berücksichtigt.</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Beträgt die Veränderung der mietrechtlichen Rechtwerte
4,6 %, dürfen nur 3,8 % berücksichtigt werden (3 % +
die Hälfte von 1,6 %= 0 0,8 % = 3,8 %).</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einem Wohnungsmietvertrag kann gem § 2 MieWeG eine
Wertsicherung auch durch bloße Bezugnahme auf § 1 Abs 2
MieWeG sowie gegebenenfalls auf § 1 Abs 3 MieWeG wirksam
vereinbart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2 MieWeG gilt auch für Richtwertmietzinse.</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1349433" w:name="note3"/>
            <w:bookmarkEnd w:id="21349433"/>
            <w:bookmarkStart w:id="4026698265344" w:name="note3"/>
            <w:r>
              <w:rPr>
                <w:rFonts w:ascii="Arial" w:hAnsi="Arial" w:eastAsia="Arial" w:cs="Arial"/>
                <w:color w:val="000000"/>
                <w:position w:val="0"/>
                <w:sz w:val="20"/>
                <w:szCs w:val="20"/>
              </w:rPr>
              <w:t xml:space="preserve">[3]</w:t>
            </w:r>
            <w:bookmarkEnd w:id="4026698265344"/>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Wertsicherung im Teilanwendungsbereich des MRG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Unter Wertsicherung versteht man die Anpassung des Mietzinses an
die Inflationsentwicklung.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solche Anpassung erfolgt – mit wenigen Ausnahmen – nicht
automatisch, sondern setzt eine vertraglich vereinbarte
Wertsicherungsklausel voraus. Fehlt eine derartige Vereinbarung,
kann eine Wertsicherung nicht geltend gemacht werden und der
Mietzins inflationsbedingt nicht angepasst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Einzelfall kann eine durch Wertsicherung dem Mieter
bekanntgegebene Erhöhung des Mietzinses gegen § 879 ABGB
verstoßen, weil die Mietzinserhöhung sachlich nicht gerechtfertigt
ist (vgl 10 Ob 23/24s). Auch kann sie aufgrund der vor dem
Mietbeginn liegenden Ausgangsbasis ungewöhnlich iSd § 864a
ABGB sein (vgl 10 Ob15/25s).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5. MILG, welches am 01.01.2026 in Österreich in Kraft
getreten ist, brachte Änderungen für Wohnungsmietverträge.
Bestandteil des 5. MILG ist das Mieten-Wertsicherungsgesetz (kurz:
MieWeG). Mit dem MieWeG soll ein einheitliches, gesetzlich
vorgegebenes Modell für Wertsicherungsklauseln bei
Wohnungsmietverträgen geschaffen werden. Es gilt sowohl für ab
01.01.2026 abgeschlossene Mietverträge als auch für Mietverträge,
die bereits vor dem 01.01.2026 abgeschlossen wurden. Es umfasst
Wohnungsmietverträge, also Haupt- und Untermietverträge über
Wohnungen im Anwendungsbereich des MRG, eischließlich der in
§ 1 Abs 4 MRG genannten Sonderfälle. Der Mietzins
verändert sich erstmals am 01.04. des Kalenderjahres nach
Vertragsabschluss und in weiterer Folge jährlich am 1. April.
Maßstab bildet die durchschnittliche Veränderung des VPI 2020 im
Kalenderjahr vor dem Valorisierungszeitpunkt. Nach dem
Berechnungsmechanismus des MieWeG erfolgen Valorisierungen der
Mietzinse zum 1. April eines jeden Jahres. Betraglich sind die
jährlichen Mietzinserhöhungen insofern beschränkt, als bei einer
nach der durchschnittlichen Veränderung des VPI 2020 zu
ermittelnden Vorjahresinflation, die 3 % übersteigt, der
3 %-liegende übersteigende Teil nur zur Hälfte in die
Mietzinserhöhung eingerechnet wird. Die errechnete Veränderung wird
nur im Ausmaß der vollen Monate des vor dem Valorisierungszeitpunkt
liegenden Kalenderjahres seit Vertragsabschluss berücksichtigt.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einem Wohnungsmietvertrag im Teil- und Vollanwendungsbereich
des MRG kann gem § 2 MietWeG eine Wertsicherung auch durch
bloße Bezugnahme auf § 1 Abs 2
Mieten-Wertsicherungsgesetz sowie gegebenenfalls § 1
Abs 3 Mieten-Wertsicherungsgesetz vereinbart werden, etwa
indem im Zusammenhang mit der Festlegung des Entgelts die Wendung
„wertgesichert gem § 1 Abs 2 Mieten-Wertsicherungsgesetz“
angeführt wird oder indem bei Wohnungsmietverträgen, auf die
Mietzinsbeschränkungen des MRG Anwendung finden und die vor dem
01.12.2026 abgeschlossen werden die Wendung „wertgesichert gem
§ 1 Abs 2 und Abs 3 des
Mieten-Wertsicherungsgesetzes“ angeführt wird.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4 Abs 3 MieWG sieht folgende Verjährungs- und
Rückforderungsbestimmungen im Falle von unwirksamen
Wertsicherungsklauseln vor: Ist bei einem Altmietvertrag eine
Wertsicherungsvereinbarung unwirksam, sind daraus resultierende
Rückforderungsansprüche auf Zahlungen beschränkt, die in den
letzten fünf Jahren vor Vertragsbeendigung geleistet wurden. Ist
das Vertragsverhältnis im Zeitpunkt der Kenntnis der
Rechtsunwirksamkeit und des Rückforderungsanspruchs noch aufrecht,
gilt diese Beschränkung auf Zahlungen, die in den letzten fünf
Jahren vor dieser Kenntnis geleistet wurden. Die
Rückforderungsansprüche verjähren in drei Jahren ab Kenntnis der
Rechtsunwirksamkeit und des Rückforderungsanspruchs, längstens aber
in 30 Jahren ab Zahlung. Diese Begrenzung gilt nur für Altverträge
(vor dem 01.01.2026 abgeschlossene Wohnungsmietverträge), also
nicht für Neuverträge und nicht für MRG-Vollausnahmen, wie etwa
Mietverträge über Wohnungen in Ein- oder Zwei-Objekte-Häusern.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8210874" w:name="note4"/>
            <w:bookmarkEnd w:id="98210874"/>
            <w:bookmarkStart w:id="5877694746569" w:name="note4"/>
            <w:r>
              <w:rPr>
                <w:rFonts w:ascii="Arial" w:hAnsi="Arial" w:eastAsia="Arial" w:cs="Arial"/>
                <w:color w:val="000000"/>
                <w:position w:val="0"/>
                <w:sz w:val="20"/>
                <w:szCs w:val="20"/>
              </w:rPr>
              <w:t xml:space="preserve">[4]</w:t>
            </w:r>
            <w:bookmarkEnd w:id="587769474656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der Klauselentscheidung des OGH vom 21.03.2023, 2 Ob 36/23t
handelt es sich um Mietverträge, auf die das KSchG anzuwenden ist.
Nach dieser Entscheidung sind zusammengefasst
Wertsicherungsklauseln nichtig, wenn beispielsweise die folgende
Formulierung verwendet wird: </w:t>
            </w:r>
            <w:r>
              <w:rPr>
                <w:rFonts w:ascii="Arial" w:hAnsi="Arial" w:eastAsia="Arial" w:cs="Arial"/>
                <w:i/>
                <w:iCs/>
                <w:color w:val="000000"/>
                <w:position w:val="0"/>
                <w:sz w:val="20"/>
                <w:szCs w:val="20"/>
              </w:rPr>
              <w:t xml:space="preserve">„Sollte dieser Index nicht
verlautbart werden, gilt jener als Grundlage für die Wertsicherung,
der diesem Index am meisten entspricht.“</w:t>
            </w:r>
            <w:r>
              <w:rPr>
                <w:rFonts w:ascii="Arial" w:hAnsi="Arial" w:eastAsia="Arial" w:cs="Arial"/>
                <w:color w:val="000000"/>
                <w:position w:val="0"/>
                <w:sz w:val="20"/>
                <w:szCs w:val="20"/>
              </w:rPr>
              <w:t xml:space="preserve"> Der OGH begründet die
Nichtigkeit damit, dass nicht klar sei, wer entscheidet, welcher
Index dem idR VPI am meisten entspricht. Wenn also anstatt der
Wortfolge </w:t>
            </w:r>
            <w:r>
              <w:rPr>
                <w:rFonts w:ascii="Arial" w:hAnsi="Arial" w:eastAsia="Arial" w:cs="Arial"/>
                <w:i/>
                <w:iCs/>
                <w:color w:val="000000"/>
                <w:position w:val="0"/>
                <w:sz w:val="20"/>
                <w:szCs w:val="20"/>
              </w:rPr>
              <w:t xml:space="preserve">„diesem Index am meisten entspricht“</w:t>
            </w:r>
            <w:r>
              <w:rPr>
                <w:rFonts w:ascii="Arial" w:hAnsi="Arial" w:eastAsia="Arial" w:cs="Arial"/>
                <w:color w:val="000000"/>
                <w:position w:val="0"/>
                <w:sz w:val="20"/>
                <w:szCs w:val="20"/>
              </w:rPr>
              <w:t xml:space="preserve"> formuliert
wird </w:t>
            </w:r>
            <w:r>
              <w:rPr>
                <w:rFonts w:ascii="Arial" w:hAnsi="Arial" w:eastAsia="Arial" w:cs="Arial"/>
                <w:i/>
                <w:iCs/>
                <w:color w:val="000000"/>
                <w:position w:val="0"/>
                <w:sz w:val="20"/>
                <w:szCs w:val="20"/>
              </w:rPr>
              <w:t xml:space="preserve">„an dessen Stelle tritt“</w:t>
            </w:r>
            <w:r>
              <w:rPr>
                <w:rFonts w:ascii="Arial" w:hAnsi="Arial" w:eastAsia="Arial" w:cs="Arial"/>
                <w:color w:val="000000"/>
                <w:position w:val="0"/>
                <w:sz w:val="20"/>
                <w:szCs w:val="20"/>
              </w:rPr>
              <w:t xml:space="preserve">, würde das entsprechend der
Ansicht des OGH wieder passen. Problematisch ist nach Ansicht des
OGH auch der Fall, wenn aufgrund der Indexklausel die Indexierung
bereits in den ersten beiden Monaten ab Vertragsabschluss schlagend
werden könnte. Dem kann in der Praxis unter Umständen dadurch
entgangen werden, wenn entweder mit einer Schwellenwertklausel
(entweder 3 % oder 5 %) gearbeitet wird oder aber die
Indexierung ausdrücklich erst zu einem bestimmten Stichtag, welcher
erst mehr als zwei Monate nach Unterfertigung erreicht wird,
vorgenommen wird. Abschließend hat der OGH in seiner Entscheidung
auch nochmals angesprochen, dass eine Wertsicherung immer
zweiseitig sein muss. Auch die Senkung des Mietzinses muss daher
vorgesehen sein.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551845" w:name="note5"/>
            <w:bookmarkEnd w:id="3551845"/>
            <w:bookmarkStart w:id="7581755387082" w:name="note5"/>
            <w:r>
              <w:rPr>
                <w:rFonts w:ascii="Arial" w:hAnsi="Arial" w:eastAsia="Arial" w:cs="Arial"/>
                <w:color w:val="000000"/>
                <w:position w:val="0"/>
                <w:sz w:val="20"/>
                <w:szCs w:val="20"/>
              </w:rPr>
              <w:t xml:space="preserve">[5]</w:t>
            </w:r>
            <w:bookmarkEnd w:id="758175538708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der Entscheidung des OGH vom 10.09.2024, 10 Ob 23/24s, wurde
folgende Mietvertragsklausel einer Prüfung unterzogen:</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„Der Hauptmietzins wird wertgesichert nach dem
Gesamtbaukostenindex für den Wohnhaus- und Siedlungsbau (Basisjahr
2010) auf Basis des im Monat der beiderseitigen
Vertragsunterfertigung verlautbarten Indexwertes.</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Er verändert sich zu Beginn eines jeden Jahres im Verhältnis
des Indexwertes für September des jeweiligen abgelaufenen Jahres
zum Indexwert für den Basismonat. Die erstmalige Anpassung erfolgt
mit 01.01.2022.</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Dieser Indexwert bildet sodann auch die Basis für die
weitere Wertsicherung. Sollte der zugrundegelegte Index nicht mehr
verlautbart werden, gilt jener Index als Grundlage für die
Wertsicherung, der anstelle dieses Index verlautbart wird. In
Ermangelung eines solchen jener, der dem Gesamtkostenindex für den
Wohnhaus- und Siedlungsbau (Basisjahr 2010) am ehesten
entspricht.“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Festgestellt wurde, dass diese Klausel gegen § 6 Abs 1
Z 5 KSchG verstößt. Der OGH begründet seine Entscheidung
folgendermaßen: Wertsicherungsklauseln in Wohnungsmietverträgen
unternehmerischer Vermieter haben sich an den Erfordernissen des
§ 6 Abs 1 Z 5 KSchG messen zu lassen, welche dem
Schutz des Verbrauchers vor überraschenden und sachlich nicht
gerechtfertigten Preiserhöhungen dient. Sie bezweckt das
ursprünglich vereinbarte Entgelt, insbesondere bei längeren
Vertragslaufzeiten an die tatsächliche Geldwertänderung anzupassen.
Der OGH kommt letztendlich zum Ergebnis, dass die Klausel über die
Wertsicherung des Mietzinses nach dem Baukostenindex (für den Wohn-
und Siedlungsbau) nach § 6 Abs 1 Z 5 KSchG
unzulässig ist. Es fehlt an der erforderlichen sachlichen
Rechtfertigung der für die Entgeltänderung maßgeblichen Umstände.
Im Hinblick auf die Funktion der Wertsicherungsvereinbarung ist es
sachlich nicht gerechtfertigt, die Wertsicherung des Mietzinses
ausschließlich an die Entwicklung reiner Erhaltungskosten zu
knüpfen. Ein solches Vorgehen muss zwangsläufig zu einer Verzerrung
des ursprünglichen </w:t>
            </w:r>
            <w:r>
              <w:rPr>
                <w:rFonts w:ascii="Arial" w:hAnsi="Arial" w:eastAsia="Arial" w:cs="Arial"/>
                <w:i/>
                <w:iCs/>
                <w:color w:val="000000"/>
                <w:position w:val="0"/>
                <w:sz w:val="20"/>
                <w:szCs w:val="20"/>
              </w:rPr>
              <w:t xml:space="preserve">„</w:t>
            </w:r>
            <w:r>
              <w:rPr>
                <w:rFonts w:ascii="Arial" w:hAnsi="Arial" w:eastAsia="Arial" w:cs="Arial"/>
                <w:color w:val="000000"/>
                <w:position w:val="0"/>
                <w:sz w:val="20"/>
                <w:szCs w:val="20"/>
              </w:rPr>
              <w:t xml:space="preserve">Äquivalenzverhältnisses</w:t>
            </w:r>
            <w:r>
              <w:rPr>
                <w:rFonts w:ascii="Arial" w:hAnsi="Arial" w:eastAsia="Arial" w:cs="Arial"/>
                <w:i/>
                <w:iCs/>
                <w:color w:val="000000"/>
                <w:position w:val="0"/>
                <w:sz w:val="20"/>
                <w:szCs w:val="20"/>
              </w:rPr>
              <w:t xml:space="preserve">“</w:t>
            </w:r>
            <w:r>
              <w:rPr>
                <w:rFonts w:ascii="Arial" w:hAnsi="Arial" w:eastAsia="Arial" w:cs="Arial"/>
                <w:color w:val="000000"/>
                <w:position w:val="0"/>
                <w:sz w:val="20"/>
                <w:szCs w:val="20"/>
              </w:rPr>
              <w:t xml:space="preserve">
führen. Die Wertsicherung des Mietzinses nach der Entwicklung des
Baukostenindex vermag weder dadurch die konkrete Kostenentwicklung
unternehmerischer Vermieter noch die durchschnittliche
Marktentwicklung abzubilden.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208916" w:name="note6"/>
            <w:bookmarkEnd w:id="1208916"/>
            <w:bookmarkStart w:id="5097107344191" w:name="note6"/>
            <w:r>
              <w:rPr>
                <w:rFonts w:ascii="Arial" w:hAnsi="Arial" w:eastAsia="Arial" w:cs="Arial"/>
                <w:color w:val="000000"/>
                <w:position w:val="0"/>
                <w:sz w:val="20"/>
                <w:szCs w:val="20"/>
              </w:rPr>
              <w:t xml:space="preserve">[6]</w:t>
            </w:r>
            <w:bookmarkEnd w:id="5097107344191"/>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Neue VfGH- &amp; OGH-Erkenntnisse zu
Wertsicherungsklauseln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Conclusio des VfGH (24.06.2025, G170/2024-17,
G37-38/2025-1</w:t>
            </w:r>
          </w:p>
          <w:p>
            <w:pPr>
              <w:numPr>
                <w:ilvl w:val="0"/>
                <w:numId w:val="86203687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 6 Abs 2 Z 4 KSchG ist nicht
verfassungswidrig.</w:t>
            </w:r>
          </w:p>
          <w:p>
            <w:pPr>
              <w:numPr>
                <w:ilvl w:val="0"/>
                <w:numId w:val="86203687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Gilt für Ziel- und Dauerschuldverhältnisse (zB Werkvertrag,
Mietvertrag).</w:t>
            </w:r>
          </w:p>
          <w:p>
            <w:pPr>
              <w:numPr>
                <w:ilvl w:val="0"/>
                <w:numId w:val="86203687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Verbraucher soll vor überraschenden/ungerechtfertigten
Preiserhöhungen geschützt werden.</w:t>
            </w:r>
          </w:p>
          <w:p>
            <w:pPr>
              <w:numPr>
                <w:ilvl w:val="0"/>
                <w:numId w:val="86203687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Im Einzelfall kann allerdings nicht automatisch von einer
Nichtigkeit der Wertsicherungsklausel und damit verbundenen
Rückforderung der geltend gemachten Erhöhungen, ausgegangen werden,
dazu muss man den gesamten Vertrag und die Verhältnisse
überprüfen.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Eine aktuelle Entscheidung des OGH macht nun deutlich, dass
nicht dem § 6 Abs 2 Z 4 KSchG entsprechende
Wertsicherungsklauseln in Mietverträgen nicht gleich zur Aufhebung
der gesamten Klausel (und somit nicht angepasste Mietzinse seit
Mietbeginn) führen müssen.</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Am 30.07.2025 entschied der OGH (10 Ob 15/25s) in
bemerkenswerter Abkehr von den bisherigen Entscheidungen in einem
„Wertsicherungsklausel-Prüfungsfall“ und schaffte damit Klarheit
für alle künftigen Streite bezüglich Anwendung der infrage
gestellten KSchG- Bestimmung.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Conclusio der </w:t>
            </w:r>
            <w:r>
              <w:rPr>
                <w:rFonts w:ascii="Arial" w:hAnsi="Arial" w:eastAsia="Arial" w:cs="Arial"/>
                <w:color w:val="000000"/>
                <w:position w:val="0"/>
                <w:sz w:val="20"/>
                <w:szCs w:val="20"/>
              </w:rPr>
              <w:t xml:space="preserve">OGH-Entscheidung</w:t>
            </w:r>
            <w:r>
              <w:rPr>
                <w:rFonts w:ascii="Arial" w:hAnsi="Arial" w:eastAsia="Arial" w:cs="Arial"/>
                <w:color w:val="000000"/>
                <w:position w:val="0"/>
                <w:sz w:val="20"/>
                <w:szCs w:val="20"/>
              </w:rPr>
              <w:t xml:space="preserve">
(30.07.2025, 10 Ob 15/25s):</w:t>
            </w:r>
          </w:p>
          <w:p>
            <w:pPr>
              <w:numPr>
                <w:ilvl w:val="0"/>
                <w:numId w:val="24549381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Klarstellung: § 6 Abs 2 Z 4 KSchG nicht
anwendbar auf Dauerschuldverhältnisse, die länger als 2 Monate
dauern (zB Mietverträge)</w:t>
            </w:r>
          </w:p>
          <w:p>
            <w:pPr>
              <w:numPr>
                <w:ilvl w:val="0"/>
                <w:numId w:val="24549381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Nachdem Wohnungsmietverträgen in der Regel mindestens drei
Jahre andauern müssen (zumindest im Teil und Vollanwendungsbereich
des MRG) können Wertsicherungsklauseln nur aufgrund der allgemeinen
Grundsätze für Vertragsbestimmungen geprüft werden und sind nicht
„automatisch“ anfechtbar, weil der 2-Monate-Hinweis nicht enthalten
ist.</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Beispiele: (aus Verbandsklagen entnommen) für unzulässige
Klauseln</w:t>
            </w:r>
          </w:p>
          <w:p>
            <w:pPr>
              <w:numPr>
                <w:ilvl w:val="0"/>
                <w:numId w:val="90038281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Unklare, mehrdeutige oder versteckt formulierte Klausel – es
fehlen konkrete Bezugsgrößen oder Stichtage</w:t>
            </w:r>
          </w:p>
          <w:p>
            <w:pPr>
              <w:numPr>
                <w:ilvl w:val="0"/>
                <w:numId w:val="90038281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Sittenwidrigkeit bzw unangemessene Benachteiligung: Klausel
verschiebt Preisrisiken unverhältnismäßig zulasten einer
Partei</w:t>
            </w:r>
          </w:p>
          <w:p>
            <w:pPr>
              <w:numPr>
                <w:ilvl w:val="0"/>
                <w:numId w:val="90038281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Einseitigkeit: Klausel sieht nur Mietzinserhöhungen vor, stellt
aber keine entsprechende Senkung bei Indexrückgang in Aussicht</w:t>
            </w:r>
          </w:p>
          <w:p>
            <w:pPr>
              <w:numPr>
                <w:ilvl w:val="0"/>
                <w:numId w:val="90038281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Unklare Ersatzindexregelung</w:t>
            </w:r>
          </w:p>
          <w:p>
            <w:pPr>
              <w:numPr>
                <w:ilvl w:val="0"/>
                <w:numId w:val="90038281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Rückwirkende Anpassung: Klausel bezieht bereits vor
Vertragsabschluss eingetretene Indexänderungen ein (das Verwenden
einer zuletzt verlautbarten Indexzahl ist nicht problematisch)</w:t>
            </w:r>
          </w:p>
          <w:p>
            <w:pPr>
              <w:numPr>
                <w:ilvl w:val="0"/>
                <w:numId w:val="90038281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Kein sachlicher Index: statt Verbraucherpreisindex wird der
Baukostenindex verwendet</w:t>
            </w:r>
          </w:p>
          <w:p>
            <w:pPr>
              <w:numPr>
                <w:ilvl w:val="0"/>
                <w:numId w:val="90038281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Intransparente Formulierungen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Für Individualverträge sind andere Maßstäbe anzusetzen, es kommt
– wie immer – auf den Einzelfall und die Verhältnisse an.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Praxistipp:</w:t>
            </w:r>
          </w:p>
          <w:p>
            <w:pPr>
              <w:numPr>
                <w:ilvl w:val="0"/>
                <w:numId w:val="74830057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Klare, eindeutige Formulierung mit Stichtag für erste
Anpassung</w:t>
            </w:r>
          </w:p>
          <w:p>
            <w:pPr>
              <w:numPr>
                <w:ilvl w:val="0"/>
                <w:numId w:val="74830057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Empfehlenswert: nur jährliche Anpassung, nicht monatlich</w:t>
            </w:r>
          </w:p>
          <w:p>
            <w:pPr>
              <w:numPr>
                <w:ilvl w:val="0"/>
                <w:numId w:val="74830057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Für Mieter: Rückforderung prüfen, aber Einzelfallbewertung
notwendig</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30057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0038281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4549381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6203687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6381739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5075832">
    <w:multiLevelType w:val="hybridMultilevel"/>
    <w:lvl w:ilvl="0" w:tplc="30580739">
      <w:start w:val="1"/>
      <w:numFmt w:val="decimal"/>
      <w:lvlText w:val="%1."/>
      <w:lvlJc w:val="left"/>
      <w:pPr>
        <w:ind w:left="720" w:hanging="360"/>
      </w:pPr>
    </w:lvl>
    <w:lvl w:ilvl="1" w:tplc="30580739" w:tentative="1">
      <w:start w:val="1"/>
      <w:numFmt w:val="lowerLetter"/>
      <w:lvlText w:val="%2."/>
      <w:lvlJc w:val="left"/>
      <w:pPr>
        <w:ind w:left="1440" w:hanging="360"/>
      </w:pPr>
    </w:lvl>
    <w:lvl w:ilvl="2" w:tplc="30580739" w:tentative="1">
      <w:start w:val="1"/>
      <w:numFmt w:val="lowerRoman"/>
      <w:lvlText w:val="%3."/>
      <w:lvlJc w:val="right"/>
      <w:pPr>
        <w:ind w:left="2160" w:hanging="180"/>
      </w:pPr>
    </w:lvl>
    <w:lvl w:ilvl="3" w:tplc="30580739" w:tentative="1">
      <w:start w:val="1"/>
      <w:numFmt w:val="decimal"/>
      <w:lvlText w:val="%4."/>
      <w:lvlJc w:val="left"/>
      <w:pPr>
        <w:ind w:left="2880" w:hanging="360"/>
      </w:pPr>
    </w:lvl>
    <w:lvl w:ilvl="4" w:tplc="30580739" w:tentative="1">
      <w:start w:val="1"/>
      <w:numFmt w:val="lowerLetter"/>
      <w:lvlText w:val="%5."/>
      <w:lvlJc w:val="left"/>
      <w:pPr>
        <w:ind w:left="3600" w:hanging="360"/>
      </w:pPr>
    </w:lvl>
    <w:lvl w:ilvl="5" w:tplc="30580739" w:tentative="1">
      <w:start w:val="1"/>
      <w:numFmt w:val="lowerRoman"/>
      <w:lvlText w:val="%6."/>
      <w:lvlJc w:val="right"/>
      <w:pPr>
        <w:ind w:left="4320" w:hanging="180"/>
      </w:pPr>
    </w:lvl>
    <w:lvl w:ilvl="6" w:tplc="30580739" w:tentative="1">
      <w:start w:val="1"/>
      <w:numFmt w:val="decimal"/>
      <w:lvlText w:val="%7."/>
      <w:lvlJc w:val="left"/>
      <w:pPr>
        <w:ind w:left="5040" w:hanging="360"/>
      </w:pPr>
    </w:lvl>
    <w:lvl w:ilvl="7" w:tplc="30580739" w:tentative="1">
      <w:start w:val="1"/>
      <w:numFmt w:val="lowerLetter"/>
      <w:lvlText w:val="%8."/>
      <w:lvlJc w:val="left"/>
      <w:pPr>
        <w:ind w:left="5760" w:hanging="360"/>
      </w:pPr>
    </w:lvl>
    <w:lvl w:ilvl="8" w:tplc="30580739" w:tentative="1">
      <w:start w:val="1"/>
      <w:numFmt w:val="lowerRoman"/>
      <w:lvlText w:val="%9."/>
      <w:lvlJc w:val="right"/>
      <w:pPr>
        <w:ind w:left="6480" w:hanging="180"/>
      </w:pPr>
    </w:lvl>
  </w:abstractNum>
  <w:abstractNum w:abstractNumId="65075831">
    <w:multiLevelType w:val="hybridMultilevel"/>
    <w:lvl w:ilvl="0" w:tplc="36336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75831">
    <w:abstractNumId w:val="65075831"/>
  </w:num>
  <w:num w:numId="65075832">
    <w:abstractNumId w:val="65075832"/>
  </w:num>
  <w:num w:numId="863817391">
    <w:abstractNumId w:val="863817391"/>
  </w:num>
  <w:num w:numId="862036876">
    <w:abstractNumId w:val="862036876"/>
  </w:num>
  <w:num w:numId="245493818">
    <w:abstractNumId w:val="245493818"/>
  </w:num>
  <w:num w:numId="900382815">
    <w:abstractNumId w:val="900382815"/>
  </w:num>
  <w:num w:numId="748300573">
    <w:abstractNumId w:val="7483005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25875573" Type="http://schemas.openxmlformats.org/officeDocument/2006/relationships/numbering" Target="numbering.xml"/><Relationship Id="rId56972633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