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6767881" w:name="document"/>
    <w:bookmarkEnd w:id="76767881"/>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72724797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24797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1323395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5147575">
    <w:multiLevelType w:val="hybridMultilevel"/>
    <w:lvl w:ilvl="0" w:tplc="70792633">
      <w:start w:val="1"/>
      <w:numFmt w:val="decimal"/>
      <w:lvlText w:val="%1."/>
      <w:lvlJc w:val="left"/>
      <w:pPr>
        <w:ind w:left="720" w:hanging="360"/>
      </w:pPr>
    </w:lvl>
    <w:lvl w:ilvl="1" w:tplc="70792633" w:tentative="1">
      <w:start w:val="1"/>
      <w:numFmt w:val="lowerLetter"/>
      <w:lvlText w:val="%2."/>
      <w:lvlJc w:val="left"/>
      <w:pPr>
        <w:ind w:left="1440" w:hanging="360"/>
      </w:pPr>
    </w:lvl>
    <w:lvl w:ilvl="2" w:tplc="70792633" w:tentative="1">
      <w:start w:val="1"/>
      <w:numFmt w:val="lowerRoman"/>
      <w:lvlText w:val="%3."/>
      <w:lvlJc w:val="right"/>
      <w:pPr>
        <w:ind w:left="2160" w:hanging="180"/>
      </w:pPr>
    </w:lvl>
    <w:lvl w:ilvl="3" w:tplc="70792633" w:tentative="1">
      <w:start w:val="1"/>
      <w:numFmt w:val="decimal"/>
      <w:lvlText w:val="%4."/>
      <w:lvlJc w:val="left"/>
      <w:pPr>
        <w:ind w:left="2880" w:hanging="360"/>
      </w:pPr>
    </w:lvl>
    <w:lvl w:ilvl="4" w:tplc="70792633" w:tentative="1">
      <w:start w:val="1"/>
      <w:numFmt w:val="lowerLetter"/>
      <w:lvlText w:val="%5."/>
      <w:lvlJc w:val="left"/>
      <w:pPr>
        <w:ind w:left="3600" w:hanging="360"/>
      </w:pPr>
    </w:lvl>
    <w:lvl w:ilvl="5" w:tplc="70792633" w:tentative="1">
      <w:start w:val="1"/>
      <w:numFmt w:val="lowerRoman"/>
      <w:lvlText w:val="%6."/>
      <w:lvlJc w:val="right"/>
      <w:pPr>
        <w:ind w:left="4320" w:hanging="180"/>
      </w:pPr>
    </w:lvl>
    <w:lvl w:ilvl="6" w:tplc="70792633" w:tentative="1">
      <w:start w:val="1"/>
      <w:numFmt w:val="decimal"/>
      <w:lvlText w:val="%7."/>
      <w:lvlJc w:val="left"/>
      <w:pPr>
        <w:ind w:left="5040" w:hanging="360"/>
      </w:pPr>
    </w:lvl>
    <w:lvl w:ilvl="7" w:tplc="70792633" w:tentative="1">
      <w:start w:val="1"/>
      <w:numFmt w:val="lowerLetter"/>
      <w:lvlText w:val="%8."/>
      <w:lvlJc w:val="left"/>
      <w:pPr>
        <w:ind w:left="5760" w:hanging="360"/>
      </w:pPr>
    </w:lvl>
    <w:lvl w:ilvl="8" w:tplc="70792633" w:tentative="1">
      <w:start w:val="1"/>
      <w:numFmt w:val="lowerRoman"/>
      <w:lvlText w:val="%9."/>
      <w:lvlJc w:val="right"/>
      <w:pPr>
        <w:ind w:left="6480" w:hanging="180"/>
      </w:pPr>
    </w:lvl>
  </w:abstractNum>
  <w:abstractNum w:abstractNumId="25147574">
    <w:multiLevelType w:val="hybridMultilevel"/>
    <w:lvl w:ilvl="0" w:tplc="693951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47574">
    <w:abstractNumId w:val="25147574"/>
  </w:num>
  <w:num w:numId="25147575">
    <w:abstractNumId w:val="25147575"/>
  </w:num>
  <w:num w:numId="513233950">
    <w:abstractNumId w:val="513233950"/>
  </w:num>
  <w:num w:numId="727247970">
    <w:abstractNumId w:val="7272479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76762430" Type="http://schemas.openxmlformats.org/officeDocument/2006/relationships/numbering" Target="numbering.xml"/><Relationship Id="rId73511939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