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1134103" w:name="document"/>
    <w:bookmarkEnd w:id="31134103"/>
    <w:p/>
    <w:p>
      <w:pPr>
        <w:widowControl w:val="on"/>
        <w:pBdr/>
        <w:spacing w:before="0" w:after="280" w:line="240" w:lineRule="auto"/>
        <w:ind w:left="0" w:right="0"/>
        <w:jc w:val="left"/>
      </w:pPr>
      <w:r>
        <w:rPr>
          <w:rFonts w:ascii="Arial" w:hAnsi="Arial" w:eastAsia="Arial" w:cs="Arial"/>
          <w:color w:val="363A40"/>
          <w:sz w:val="24"/>
          <w:szCs w:val="24"/>
        </w:rPr>
        <w:t xml:space="preserve">Dokument-ID: 589077 | Markus Bulgarini - WEKA
(red) - Karin Zahiragic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(Kategorie A, B oder C
ab 1994)</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Bei Nichtanwendbarkeit des KSchG,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„Mieter“ genannt, einerseits 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„Vermieter“ genannt, andererseits wie
folgt: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Beschreibung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 … [genaue
Anschrift]. Die Nutzfläche dieser Wohnung beträgt … [Angabe der
Quadratmeterzahl] m².</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Einvernehmlich wird festgestellt, dass im Mietgegenstand ein
Anschluss für Telefon/Satellitenfernsehen/Internet vorhanden ist,
der vom Mieter verwendet werden kann. Vermietet ist nur der
Innenraum des Mietgegenstands der Ausstattungskategorie …,
bestehend aus … [genaue Beschreibung des Mietobjekts].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Richtwertmietzins gelangt nur bei der Vermietung von Wohnungen
der Ausstattungskategorie A, B und C zur Anwendung. Der Mieter
mietet nun diesen Mietgegenstand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(Lift, Waschküche, etc).</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sich durch eingehende Besichtigung des
Mietgegenstands davon überzeugt und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 Das
Mietverhältnis unterliegt dem Vollanwendungsbereich des
Mietrechtsgesetzes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„Wohnzwecke“ sind auch solche beruflichen Tätigkeiten zu
verstehen, die üblicherweise in Wohnungen ausgeübt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ist die
vertragliche Einschränkung auf Vermietung zu Wohnzwecken – als
Abgrenzung zu Geschäftszwecken verstanden – grundsätzlich zulässig
(9 Ob 4/23p).</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[Datum].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Rahmen des 5. MILG wurde beschlossen, dass für Mietverhältnisse
ab 01.01.2026 die Befristung bei Wohnungsmietverträgen mindestens 5
Jahre betragen muss. Befristungen mit einer kürzeren Laufzeit sind
unzulässig und führen zum Wegfall der Befristungsklausel und damit
zu einem unbefristeten Mietvertrag, der nur bei Vorliegen wichtiger
Gründe gekündigt werden kann. Für Vermieter, die im Zeitpunkt des
Vertragsabschlusses keine Unternehmer im Sinne des
Konsumentenschutzgesetzes (kurz: KSchG) sind, gilt weiterhin die
Mindestbefristung von 3 Jahren. Ausgenommen von der
Mindestbefristung sind lediglich Wohnungen, für die das
Mietrechtsgesetz (kurz: MRG) keine Geltung hat (zB Ein- und
Zweifamilienhäuser).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gegenständlichen Mustermietvertrag findet das KSchG keine
Anwendung, sodass davon ausgegangen werden kann, dass der Vermieter
Verbraucher ist. Es gilt daher weiterhin die Mindestbefristung von
3 Jahren.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kann vom Mieter nach Ablauf einer einjährigen
Vertragsdauer unter Einhaltung einer dreimonatigen Kündigungsfrist
vor Ablauf der bedungenen Zeit zum Monatsletzten schriftlich oder
gerichtlich aufgekündigt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Mietverträge auf bestimmte Zeit,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3. Mietzins</w:t>
      </w:r>
    </w:p>
    <w:p>
      <w:pPr>
        <w:widowControl w:val="on"/>
        <w:pBdr/>
        <w:spacing w:before="140" w:after="240" w:line="288" w:lineRule="auto"/>
        <w:ind w:left="0" w:right="0"/>
        <w:jc w:val="left"/>
      </w:pPr>
      <w:r>
        <w:rPr>
          <w:rFonts w:ascii="Arial" w:hAnsi="Arial" w:eastAsia="Arial" w:cs="Arial"/>
          <w:color w:val="000000"/>
          <w:sz w:val="20"/>
          <w:szCs w:val="20"/>
        </w:rPr>
        <w:t xml:space="preserve">Vorbemerkung 1:</w:t>
      </w:r>
      <w:r>
        <w:rPr>
          <w:rFonts w:ascii="Arial" w:hAnsi="Arial" w:eastAsia="Arial" w:cs="Arial"/>
          <w:color w:val="000000"/>
          <w:sz w:val="20"/>
          <w:szCs w:val="20"/>
        </w:rPr>
        <w:br/>
        <w:t xml:space="preserve">Der Richtwertmietzins ist ein angemessener Hauptmietzins,
allerdings mit einem feststehenden Ausgangswert, dem Richtwert.
Dieser Richtwert wurde pro Bundesland für die mietrechtliche
Normwohnung (§ 2 RichtWG) festgelegt.</w:t>
      </w:r>
    </w:p>
    <w:p>
      <w:pPr>
        <w:widowControl w:val="on"/>
        <w:pBdr/>
        <w:spacing w:before="140" w:after="240" w:line="288" w:lineRule="auto"/>
        <w:ind w:left="0" w:right="0"/>
        <w:jc w:val="left"/>
      </w:pPr>
      <w:r>
        <w:rPr>
          <w:rFonts w:ascii="Arial" w:hAnsi="Arial" w:eastAsia="Arial" w:cs="Arial"/>
          <w:color w:val="000000"/>
          <w:sz w:val="20"/>
          <w:szCs w:val="20"/>
        </w:rPr>
        <w:t xml:space="preserve">Nach § 2 Abs 1 RichtWG ist unter einer
„mietrechtlichen Normwohnung“ eine Wohnung mit einer Nutzfläche
zwischen 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und 130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in brauchbarem
Zustand, die aus Zimmer, Küche (Kochnische), Vorraum, Klosett und
einer dem zeitgemäßen Standard entsprechenden Badegelegenheit
(Baderaum oder Badenische) besteht, über eine Etagenheizung oder
eine gleichwertige stationäre Heizung verfügt und in einem
</w:t>
      </w:r>
      <w:r>
        <w:rPr>
          <w:rFonts w:ascii="Arial" w:hAnsi="Arial" w:eastAsia="Arial" w:cs="Arial"/>
          <w:color w:val="000000"/>
          <w:sz w:val="20"/>
          <w:szCs w:val="20"/>
        </w:rPr>
        <w:t xml:space="preserve">Gebäude mit ordnungsgemäßem Erhaltungszustand</w:t>
      </w:r>
      <w:r>
        <w:rPr>
          <w:rFonts w:ascii="Arial" w:hAnsi="Arial" w:eastAsia="Arial" w:cs="Arial"/>
          <w:color w:val="000000"/>
          <w:sz w:val="20"/>
          <w:szCs w:val="20"/>
        </w:rPr>
        <w:t xml:space="preserve"> auf
einer Liegenschaft </w:t>
      </w:r>
      <w:r>
        <w:rPr>
          <w:rFonts w:ascii="Arial" w:hAnsi="Arial" w:eastAsia="Arial" w:cs="Arial"/>
          <w:color w:val="000000"/>
          <w:sz w:val="20"/>
          <w:szCs w:val="20"/>
        </w:rPr>
        <w:t xml:space="preserve">mit durchschnittlicher Lage
(Wohnumgebung)</w:t>
      </w:r>
      <w:r>
        <w:rPr>
          <w:rFonts w:ascii="Arial" w:hAnsi="Arial" w:eastAsia="Arial" w:cs="Arial"/>
          <w:color w:val="000000"/>
          <w:sz w:val="20"/>
          <w:szCs w:val="20"/>
        </w:rPr>
        <w:t xml:space="preserve"> gelegen ist, zu verstehen. Ordnungsgemäß
ist der Erhaltungszustand des Gebäudes jedenfalls dann nicht, wenn
im Zeitpunkt der Vermietung Erhaltungsarbeiten iSd § 3
Abs 3 Z 2 MRG anstehen. Die durchschnittliche Lage
(Wohnumgebung) ist nach der allgemeinen Verkehrsauffassung und
Erfahrung des täglichen Lebens zu beurteilen, wobei eine Lage
(Wohnumgebung) mit einem überwiegenden Gebäudezustand, der in der
Zeit von 1870 bis 1917 errichtet wurde und im Zeitpunkt der
Errichtung überwiegend kleine, mangelhaft ausgestattete Wohnungen
(Wohnungen der Ausstattungskategorie D) aufgewiesen hat, höchstens
als durchschnittlich einzustufen ist.</w:t>
      </w:r>
    </w:p>
    <w:p>
      <w:pPr>
        <w:widowControl w:val="on"/>
        <w:pBdr/>
        <w:spacing w:before="140" w:after="240" w:line="288" w:lineRule="auto"/>
        <w:ind w:left="0" w:right="0"/>
        <w:jc w:val="left"/>
      </w:pPr>
      <w:r>
        <w:rPr>
          <w:rFonts w:ascii="Arial" w:hAnsi="Arial" w:eastAsia="Arial" w:cs="Arial"/>
          <w:color w:val="000000"/>
          <w:sz w:val="20"/>
          <w:szCs w:val="20"/>
        </w:rPr>
        <w:t xml:space="preserve">Zur Ermittlung des Richtwertmietzinses wird dieser Richtwert mit
Zu- und Abschlägen versehen.</w:t>
      </w:r>
      <w:r>
        <w:rPr>
          <w:rFonts w:ascii="Arial" w:hAnsi="Arial" w:eastAsia="Arial" w:cs="Arial"/>
          <w:color w:val="000000"/>
          <w:sz w:val="20"/>
          <w:szCs w:val="20"/>
        </w:rPr>
        <w:br/>
        <w:t xml:space="preserve">Der Richtwertmietzins ist nach oben hin begrenzt durch die
Angemessenheit iSd § 16 Abs 1 MRG und nach unten durch
die Kategoriesätze des § 15a Abs 3 MRG. Ebenso findet
§ 16 Abs 2 MRG Anwendung. Der Richtwertmietzins kann
daher immer nur über dem Kategoriemietzins und unter dem
angemessenen Mietzins für eine vergleichbare Wohnung liegen
(MietSlg 47.267).</w:t>
      </w:r>
    </w:p>
    <w:p>
      <w:pPr>
        <w:widowControl w:val="on"/>
        <w:pBdr/>
        <w:spacing w:before="140" w:after="240" w:line="288" w:lineRule="auto"/>
        <w:ind w:left="0" w:right="0"/>
        <w:jc w:val="left"/>
      </w:pPr>
      <w:r>
        <w:rPr>
          <w:rFonts w:ascii="Arial" w:hAnsi="Arial" w:eastAsia="Arial" w:cs="Arial"/>
          <w:color w:val="000000"/>
          <w:sz w:val="20"/>
          <w:szCs w:val="20"/>
        </w:rPr>
        <w:t xml:space="preserve">Im Vollanwendungsbereich des MRG wird ein Richtwertmietzins
vereinbart für:</w:t>
      </w:r>
    </w:p>
    <w:p>
      <w:pPr>
        <w:numPr>
          <w:ilvl w:val="0"/>
          <w:numId w:val="5726185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Vermietung von Wohnungen der Kategorie A, B oder C ab dem
01.03.1994 und das Gebäude, in dem sich die Wohnung befindet, wurde
vor dem 09.05.1945 geschaffen. Die Vereinbarung eines freien oder
angemessenen Mietzinses ist aber nicht zulässig.</w:t>
      </w:r>
    </w:p>
    <w:p>
      <w:pPr>
        <w:numPr>
          <w:ilvl w:val="0"/>
          <w:numId w:val="57261855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Abtretung von Mietrechten oder bei Eintritt im Todesfall
jedoch mit betraglichen Obergrenzen</w:t>
      </w:r>
    </w:p>
    <w:p>
      <w:pPr>
        <w:widowControl w:val="on"/>
        <w:pBdr/>
        <w:spacing w:before="140" w:after="240" w:line="288" w:lineRule="auto"/>
        <w:ind w:left="0" w:right="0"/>
        <w:jc w:val="left"/>
      </w:pPr>
      <w:r>
        <w:rPr>
          <w:rFonts w:ascii="Arial" w:hAnsi="Arial" w:eastAsia="Arial" w:cs="Arial"/>
          <w:color w:val="000000"/>
          <w:sz w:val="20"/>
          <w:szCs w:val="20"/>
        </w:rPr>
        <w:t xml:space="preserve">Vorbemerkung 2:</w:t>
      </w:r>
      <w:r>
        <w:rPr>
          <w:rFonts w:ascii="Arial" w:hAnsi="Arial" w:eastAsia="Arial" w:cs="Arial"/>
          <w:color w:val="000000"/>
          <w:sz w:val="20"/>
          <w:szCs w:val="20"/>
        </w:rPr>
        <w:br/>
        <w:t xml:space="preserve">§ 16 Abs 2 MRG zählt die Kriterien für Zu- und Abschläge
des Richtwertmietzinses auf:</w:t>
      </w:r>
    </w:p>
    <w:p>
      <w:pPr>
        <w:numPr>
          <w:ilvl w:val="0"/>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Zweckbestimmung der Wohnung, ihre Stockwerkslage, ihre Lage
innerhalb eines Stockwerks, ihre über oder unter dem Durchschnitt
liegende Ausstattung mit anderen Teilen der Liegenschaft,
beispielsweise mit Balkonen, Terrassen, Keller- oder
Dachbodenräumen, Hausgärten oder Abstellplätzen, ihre sonstige
Ausstattung oder Grundrissgestaltung, eine gegenüber der
mietrechtlichen Normwohnung bessere Ausstattung oder
Grundrissgestaltung jedoch nur, wenn sie nicht allein auf Kosten
des Hauptmieters vorgenommen wurde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OGH (5 Ob 208/10i) billigt folgende Zu- und Abschläge vom
Richtwert:
</w:t>
      </w:r>
    </w:p>
    <w:p>
      <w:pPr>
        <w:numPr>
          <w:ilvl w:val="1"/>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das Badezimmer</w:t>
      </w:r>
    </w:p>
    <w:p>
      <w:pPr>
        <w:numPr>
          <w:ilvl w:val="1"/>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Parkettböden in fast allen
Räumen</w:t>
      </w:r>
    </w:p>
    <w:p>
      <w:pPr>
        <w:numPr>
          <w:ilvl w:val="1"/>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2 % Zuschlag für die Anschlussmöglichkeit von
Geschirrspüler und Waschmaschine</w:t>
      </w:r>
    </w:p>
    <w:p>
      <w:pPr>
        <w:numPr>
          <w:ilvl w:val="1"/>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Begehung sämtlicher Räume vom Vorraum
aus</w:t>
      </w:r>
    </w:p>
    <w:p>
      <w:pPr>
        <w:numPr>
          <w:ilvl w:val="1"/>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Zuschlag für die unverbaute Lage mit sehr schöner
Aussicht aus den Zimmern</w:t>
      </w:r>
    </w:p>
    <w:p>
      <w:pPr>
        <w:numPr>
          <w:ilvl w:val="1"/>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8 % Zuschlag für die besondere Ausgestaltung mit freien
Balkonen von ca 30 m </w:t>
      </w:r>
      <w:r>
        <w:rPr>
          <w:rFonts w:ascii="Arial" w:hAnsi="Arial" w:eastAsia="Arial" w:cs="Arial"/>
          <w:color w:val="000000"/>
          <w:position w:val="3"/>
          <w:sz w:val="18"/>
          <w:szCs w:val="18"/>
          <w:vertAlign w:val="superscript"/>
        </w:rPr>
        <w:t xml:space="preserve">2</w:t>
      </w:r>
    </w:p>
    <w:p>
      <w:pPr>
        <w:numPr>
          <w:ilvl w:val="1"/>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Abstrich für die teilweise Ausrichtung zur Straße mit
damit verbundenen Lärmbelästigungen</w:t>
      </w:r>
    </w:p>
    <w:p>
      <w:pPr>
        <w:numPr>
          <w:ilvl w:val="1"/>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Abstrich für die fehlende Dachbodenmitbenützung</w:t>
      </w:r>
    </w:p>
    <w:p>
      <w:pPr>
        <w:numPr>
          <w:ilvl w:val="0"/>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Einen Zuschlag gab es nach der Judikatur für: Gegensprechanlage,
Telefon, Telekabel, zentrales Vorzimmer, Parkettböden, optimalen
Grundriss, Fenster im Badezimmer, Waschmaschinenanschluss, guten
Zustand des Kellers, Heizung, Lift, Antenne, Garage, Kinderwagen-
oder Fahrradabstellraum (MietSlg 54.283, 53.323, 53.322,
50.334).</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Einen Abschlag von 50 % für Kategorie C wurde durch einen
20 %-Zuschlag für jene vorhandene Ausstattung, die der
Kategorie B entspricht, teilweise ausgeglichen. Für das zweite WC
wurde ein Zuschlag von 5 % für angemessen erachtet (5 Ob
86/08w).</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Für die höherwertige Ausstattung einer Küche mit Einbaumöbeln ist
ebenso wenig ein Zuschlag zum Richtwert gerechtfertigt wie für die
Trennung von Bad und WC und die Entlüftung beider Räume ins
Freie.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Kein Zuschlag für ein Kellerabteil und die Dachbodenmitbenützung
oder wenn ein Lift dauernd unbrauchbar ist
(MietSlg 50.334)</w:t>
      </w:r>
    </w:p>
    <w:p>
      <w:pPr>
        <w:numPr>
          <w:ilvl w:val="0"/>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Ausstattung der Wohnung mit den in § 3 Abs 4
RichtWG angeführten Anlagen (Aufzug, Zentralheizung), Garagen,
Flächen und Räumen, wobei die jeweiligen Zuschläge mit den bei der
Ermittlung des Richtwerts abgezogenen Baukostenanteilen begrenzt
sind</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Vorhandensein im Altgebäude üblicherweise fehlender Räume,
Flächen oder Anlagen (etwa Heizung, Lift, Antenne, Garage,
Kinderwagen- oder Fahrradabstellraum) rechtfertigt die Vereinbarung
eines Zuschlags, sofern diese Einrichtungen vom Mieter mitbenützt
werden können und nicht ohnedies ein gesondertes Entgelt für diese
Nebenleistungen vereinbart wird. Solche werterhöhende, nach
Verfügbarkeit nutzbare Anlagen müssen somit den Wohnwert des
konkreten Objektes erhöhen. Verfügt ein Gebäude etwa über Einstell-
oder Abstellplätze, die aber vom Mieter der Wohnung nicht
wenigstens dann benützt werden können, wenn sie gerade frei sind,
so rechtfertigt dies keinen Zuschlag.</w:t>
      </w:r>
    </w:p>
    <w:p>
      <w:pPr>
        <w:numPr>
          <w:ilvl w:val="0"/>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Verpflichtung des Vermieters zur Erhaltung einer
Etagenheizung, die er errichtet oder deren Errichtungskosten er
übernommen hat, durch einen entsprechenden Zuschlag</w:t>
      </w:r>
    </w:p>
    <w:p>
      <w:pPr>
        <w:numPr>
          <w:ilvl w:val="0"/>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Lage (Wohnumgebung) des Hauses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Lagezuschlag beträgt 0,33 vH der Differenz zwischen dem im
Richtwert enthaltenen Grundkostenanteil und dem der Lage des Hauses
entsprechenden Grundkostenanteil je Quadratmeter der Nutzfläche
unter Berücksichtigung der nach der Bauordnung zulässigen
Bebaubarkeit und darf verlangt werden, wenn die Lage
überdurchschnittlich ist.</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Die für den Lagezuschlag maßgebenden Umstände sind dem Mieter in
Schriftform bis spätestens bei Zustandekommen des Mietvertrages
ausdrücklich bekannt gegeben worden. Nach der Judikaturlinie des
OGH zu § 16 Abs 4 MRG reichen im Mietvertrag folgende
Hinweise aus: „ruhige, zentrumsnahe Lage in Innsbruck“, „zentrale
Verkehrslage des Hauses in der Wiener Innenstadt“,
„verkehrsgünstige Lage mit Grünblick“, „insbesondere Lagezuschlag
(Villenviertel, Hausgarten)“, „Grünlage“, „Infrastruktur“,
„Anbindung an das öffentliche Verkehrsnetz“.</w:t>
      </w:r>
    </w:p>
    <w:p>
      <w:pPr>
        <w:numPr>
          <w:ilvl w:val="0"/>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Erhaltungszustand des Gebäudes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Abblätterungen und Abbröckelungen des Anstriches und Verputzes an
der Fassade im Bereich leerstehender Geschäftslokale sowie Risse
und Verputzabbröckelungen an mehreren Stellen im Bereich des
Innenhofes des Hauses und Feuchtigkeitsschäden im Hausflur
beeinträchtigen wohl das äußere Erscheinungsbild des Gebäudes,
können aber keinen Abschlagsgrund bilden (MitSlg 51.317).</w:t>
      </w:r>
    </w:p>
    <w:p>
      <w:pPr>
        <w:numPr>
          <w:ilvl w:val="0"/>
          <w:numId w:val="28344845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gegenüber der mietrechtlichen Normwohnung niedrigere
Ausstattungskategorie bei einer Wohnung der Ausstattungskategorie B
und bei einer Wohnung der Ausstattungskategorie C durch
entsprechende Abstriche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Landesgericht für Zivilrechtssachen Wien hat einen Abschlag von
25 % vom Richtwert für Kategorie A für eine Wohnung ermittelt,
in der die Küche über eine Warmwasseraufbereitung verfügte, aber
unbeheizt war, das Bad durch die Küche entlüftet wurde und der
Vorraum fehlte (MietSlg 56.297).</w:t>
      </w:r>
    </w:p>
    <w:p>
      <w:pPr>
        <w:widowControl w:val="on"/>
        <w:pBdr/>
        <w:spacing w:before="140" w:after="240" w:line="288" w:lineRule="auto"/>
        <w:ind w:left="0" w:right="0"/>
        <w:jc w:val="left"/>
      </w:pPr>
      <w:r>
        <w:rPr>
          <w:rFonts w:ascii="Arial" w:hAnsi="Arial" w:eastAsia="Arial" w:cs="Arial"/>
          <w:color w:val="000000"/>
          <w:sz w:val="20"/>
          <w:szCs w:val="20"/>
        </w:rPr>
        <w:t xml:space="preserve">Vorbemerkung 3:</w:t>
      </w:r>
      <w:r>
        <w:rPr>
          <w:rFonts w:ascii="Arial" w:hAnsi="Arial" w:eastAsia="Arial" w:cs="Arial"/>
          <w:color w:val="000000"/>
          <w:sz w:val="20"/>
          <w:szCs w:val="20"/>
        </w:rPr>
        <w:br/>
        <w:t xml:space="preserve">Entscheidend zur Berechnung von Ab- und Zuschlägen ist immer der
Zustand der Mietwohnung im Zeitpunkt des Mietvertragsabschlusses.
Spätere Verbesserungen bzw Verschlechterungen des Mietgegenstandes
sind unbeachtlich.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Hauptmietzins von monatlich EUR … [Betrag] und der
jeweiligen gesetzlichen Umsatzsteuer.</w:t>
                  </w:r>
                  <w:r>
                    <w:rPr>
                      <w:rFonts w:ascii="Arial" w:hAnsi="Arial" w:eastAsia="Arial" w:cs="Arial"/>
                      <w:color w:val="000000"/>
                      <w:position w:val="0"/>
                      <w:sz w:val="20"/>
                      <w:szCs w:val="20"/>
                      <w:shd w:val="clear" w:color="auto" w:fill="FFFFFF"/>
                    </w:rPr>
                    <w:br/>
                    <w:t xml:space="preserve">Hinweis:</w:t>
                  </w:r>
                  <w:r>
                    <w:rPr>
                      <w:rFonts w:ascii="Arial" w:hAnsi="Arial" w:eastAsia="Arial" w:cs="Arial"/>
                      <w:color w:val="000000"/>
                      <w:position w:val="0"/>
                      <w:sz w:val="20"/>
                      <w:szCs w:val="20"/>
                      <w:shd w:val="clear" w:color="auto" w:fill="FFFFFF"/>
                    </w:rPr>
                    <w:br/>
                    <w:t xml:space="preserve">Gem § 10 Abs 2 Z 3 lit a UStG beträgt die
Umsatzsteuer für die Vermietung zu Wohnzwecken 10 %, sonst
20 %. Befristungsabschlag: Im vereinbarten Hauptmietzins
(Hauptmietzins, Anteil an Betriebskosten und öffentlichen Abgaben
und an der gesetzlichen Umsatzsteuer) ist der in § 16
Abs 7 MRG vorgesehene Abschlag auf die Befristungsdauer
(25 %) wie folgt berücksichtigt: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ohne Befristung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Abzüglich 25 % Befristungsabschlag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im Befristungszeitraum</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bl>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Befristungsabschlag wird lediglich bei befristeten
Mietverhältnissen, die dem Vollanwendungsbereich des MRG
unterliegen, berücksichtigt. Diese Verminderung gilt im Fall der
Umwandlung in einen Mietvertrag auf unbestimmte Zeit ab dem
Umwandlungszeitpunkt nicht mehr.</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Zwischen den Parteien wird festgehalten, dass der unter Punkt
3.1. angeführte Hauptmietzins nach dem Richtwertgesetz unter
Zugrundelegung des Richtwertmietzinses, sowie Zu- und Abschläge und
eines Lagezuschlages, der sich aus dem Grundkostenanteil im
Vergleich zu der im RichtWG festgesetzten Durchschnittslage ergibt,
berechnet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nimmt ausdrücklich zur Kenntnis, dass aufgrund der
besonderen Lage des Mietobjektes, insbesondere der Ruhelage und der
günstigen Verkehrsanbindungen in (… genau ausführen, warum das so
ist), der vereinbarte Richtwertmietzins (Punkt 3.1) einen
Lagezuschlag zum gesetzlichen Richtwert beinhaltet.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für einen Lagezuschlag maßgebenden Umstände müssen gem
§ 16 Abs 4 MRG dem Mieter spätestens bei
Mietvertragsabschluss bekannt gegeben werden.</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„wertgesichert gem § 1
Abs 2 und Abs 3 MieWeG“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nach § 5 Richtwertgesetz
(RichtWG) unter Zugrundelegung des Richtwertmietzinses, sowie Zu-
und Abschläge und eines Lagezuschlags berechnet.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Ausgangsbasis für die Wertsicherung ist der im Zeitpunkt des
Vertragsabschlusses wirksame Richtwert.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Ab dem Jahr 2028 wird bei einer Vorjahresinflation von
mehr als 3 % der Teil, der 3 % übersteigt, im Rahmen der
Mietzinserhöhung nur zur Hälfte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Beispiel:</w:t>
            </w:r>
            <w:r>
              <w:rPr>
                <w:rFonts w:ascii="Arial" w:hAnsi="Arial" w:eastAsia="Arial" w:cs="Arial"/>
                <w:color w:val="000000"/>
                <w:position w:val="0"/>
                <w:sz w:val="20"/>
                <w:szCs w:val="20"/>
                <w:shd w:val="clear" w:color="auto" w:fill="FFFFFF"/>
              </w:rPr>
              <w:br/>
              <w:t xml:space="preserve">Beträgt die Veränderung der mietrechtlichen Rechtwerte 4,6 %,
dürfen nur 3,8 % berücksichtigt werden (3 % + die Hälfte
von 1,6 %= 0 0,8 % = 3,8 %).</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kann gem § 2 MieWeG eine
Wertsicherung auch durch bloße Bezugnahme auf § 1 Abs 2
MieWeG sowie gegebenenfalls auf § 1 Abs 3 MieWeG wirksam
vereinbart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2 MieWeG gilt auch für Richtwertmietzinse.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dem Hauptmietzins hat der Mieter auch den Anteil an den
Betriebskosten in der Höhe von monatlich EUR ..., der
entsprechend dem Nutzflächenschlüssel für diesen Mietgegenstand
derzeit … % beträgt,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Jeder Mieter hat einen Anteil an den Gesamtkosten entsprechend der
Nutzfläche des von ihm gemieteten Objektes zu zahlen. Der Anteil
richtet sich nach dem Verhältnis der Nutzfläche des gemieteten
Objektes zur Nutzfläche aller Mietobjekte.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Nutzfläche wird nach dem Naturmaß berechnet und ist die
Bodenfläche eines Mietobjektes abzüglich der Wandstärke. Keine
Nutzfläche und daher in die Berechnung nicht einzubeziehen sind
Keller, Dachbodenabteile, Treppen, Balkone und Terrassen. Verändert
sich die Nutzfläche in einem Mietobjekt aufgrund baulicher
Maßnahmen durch den Mieter, wird das bis zur Beendigung des
Mietvertrages nicht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Vollanwendungsbereich des MRG dürfen den Mietern folgende Kosten
als Betriebskosten anteilig weiterverrechnet werden: Wasser- und
Abwassergebühren inkl Wartungsgebühren, Kosten der Eichung, Wartung
und Ablesung von Messvorrichtungen zur Verbrauchsermittlung,
Rauchfangkehrerkosten, Kanalräumungskosten, Müllabfuhr,
Schädlingsbekämpfungskosten, Beleuchtungskosten des allgemeinen
Teils des Hauses, Feuerversicherung, Haftpflichtversicherung,
Leitungswasserschädenversicherung, Versicherung gegen Glasbruch und
Sturmschäden, Kosten der Verwaltung, Hausbetreuungskosten (externe
Hausbetreuung oder Hausbesorger nach dem alten
Hausbesorgergesetz).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anteilig anrechenbaren öffentlichen Abgaben sind die von der
Liegenschaft zu entrichtenden laufenden öffentlichen Abgaben mit
Ausnahme solcher, die nach landesgesetzlichen Bestimmungen auf die
Mieter nicht überwälzt werden dürfen. Überwälzbar sind demnach
beispielsweise die Grundsteuer und die aufgrund landesgesetzlicher
Bestimmungen zu entrichtenden laufenden Abgaben, wie etwa die
Gebrauchsabgabe des Landes Wien für die Inanspruchnahme
öffentlichen Luftraumes („Luftsteuer“) oder in der Stadt Innsbruck
die „Gehsteigabgabe“. Nicht überwälzbar ist beispielsweise für
einen von den Mietern nicht benützten Garten.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weiters den Anteil für besondere Aufwendungen,
insbesondere für … gemäß obigem Prozentsatz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Sofern der Hauptmieter einer Wohnung aufgrund des Mietvertrages
oder einer anderen Vereinbarung berechtigt ist, eine der
gemeinsamen Benützung der Bewohner dienende Anlage des Hauses
(Personenaufzug, Zentralheizung, Waschküche, etc) zu benützen, muss
er gem § 24 Abs 1 MRG ebenfalls einen Teil der
anfallenden Gesamtkosten des Betriebes dieser Anlage mittragen. Die
Aufteilung der Kosten erfolgt wie bei den Betriebskosten, dh nach
dem Nutzflächenschlüssel, sofern nicht zwischen dem Vermieter und
allen Mietern ein anderer Aufteilungsschlüssel vereinbart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Vereinbarung über die Liftbenützung für Erdgeschoßmieter ist
hingegen in der Regel unwirksam und eine Weiterverrechnung der
Kosten unzulässig.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Können bei Gemeinschaftsanlagen die Energiekosten den Benützern
zugeordnet werden, so dürfen diese Energiekosten in pauschalierter
Form (zB durch Münzautomaten) von den Benützern eingehoben werden.
Diese Entgelte sind in der Abrechnung als Einnahmen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Bezüglich der Heiz- und Warmwasserkosten einer gemeinsamen
Wärmeversorgungsanlage sind primär die Verteilungsregelungen des
Heizkostenabrechnungsgesetzes anzuwenden.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Grünanlagen handelt es sich um Gemeinschaftseinrichtungen
besonderer Art, bei der es grundsätzlich nicht notwendig bzw üblich
ist, besondere Vereinbarungen über die Benützung zu treffen.
Lediglich dann, wenn das alleinige Nutzungsrecht einzelnen Mietern
oder dem Vermieter vorbehalten ist, können die Kosten hierfür nicht
den übrigen Mietern weiterverrechnet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für die Betriebskosten,
sowie Zuschläge für sonstige besondere Aufwendungen monatliche
Pauschalbeträge in gleichbleibender Höhe gegen einmalige jährliche
Verrechnung entrichtet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des jeweiligen Kalenderjahres werden die
tatsächlichen Betriebskosten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gibt zwei Arten der Betriebskostenabrechnung: die
Einzelvorschreibung und die Pauschalverrechnung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Pauschalverrechnung wird den Mietern jährlich ein monatlich
gleichbleibender Betrag vorgeschrieben. Bis spätestens 30.06. eines
jeden Kalenderjahres muss der Vermieter den Mietern eine Abrechnung
der Betriebskosten des Vorjahres erstellen und an einer geeigneten
Stelle im Haus allen Mietern zur Einsichtnahme auflegen. Die
Aufstellung muss in einer übersichtlichen und für einen
durchschnittlichen Mieter nachvollziehbaren Form erfolgen. Eine
Übersendung an jeden einzelnen Mieter ist nicht erforderlich. Die
Mieter können in die Belege einsehen und auf ihre Kosten Kopien
anfertigen lassen. Das neue monatliche Akonto wird auf Basis der
vorangegangenen Jahresabrechnung ermittelt und darf diesen Betrag
um 10 % übersteigen. Weist die Betriebskostenabrechnung ein
Guthaben aus, muss dies den Mietern bis zum übernächsten
Zinsfälligkeitstermin (zB Datum der Abrechnung 30.06., Rückzahlung
spätestens 01.08.) zurückerstattet werden. Ein allfälliger
Fehlbetrag ist vom Mieter zum übernächsten Zinstermin nachzuzahlen.
Das Recht zur Rückforderung bzw die Pflicht zur Nachzahlung trifft
denjenigen, der zu diesem Zeitpunkt Hauptmieter ist, selbst wenn er
nicht die volle Abrechnungsperiode Hauptmieter war.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Betriebskosten und öffentliche Abgaben
innerhalb eines Jahres geltend zu machen. Die Frist zur
Geltendmachung beginnt mit Ablauf des Kalenderjahres zu laufen, in
dem die Kosten gegenüber dem Vermieter fällig geworden sind. Es
handelt sich dabei um eine so genannte Präklusionsfrist. Dies
bedeutet, dass Betriebskosten und Abgaben, deren Fälligkeit vor
mehr als einem Jahr eingetreten ist, nicht mehr geltend gemacht
werden können. Für die rechtzeitige Geltendmachung reicht es aus,
eine Aufstellung der Ausgabenposten, die der Vermieter als
Betriebskosten und Abgaben verrechnen will, samt Belegen zu
erstellen. Wurden die Betriebskosten und öffentlichen Abgaben auf
diese Weise geltend gemacht, können sie als Teil des gesetzlichen
Mietzinses innerhalb der Verjährungsfrist von drei Jahren gegenüber
dem Mieter geltend gemacht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Falle der Einzelvorschreibung kann der Vermieter die
Betriebskosten und öffentlichen Abgaben zum 1. des jeweiligen
Monats vorschreiben, die spätestens an diesem Tag fällig werden.
Dem Mieter ist die Höhe wenigstens drei Tage im Vorhinein unter
Vorlage der Rechnungsbelege nachzuweisen. Kosten, deren Fälligkeit
vor mehr als einem Jahr eingetreten ist, können nicht mehr geltend
gemacht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samt allem Anhang ist im Voraus
monatlich jeweils am 5. eines Monats zu entrichten. Die Zahlung des
monatlichen Mietzinses hat ausschließlich durch Überweisung auf das
vom Vermieter bekanntzugebende Konto zu erfolgen.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Kommt aufgrund des Mietgegenstandes das MRG zur Anwendung, ist der
Mietzins am Fünften des Kalendermonats zu entrichten, sofern kein
späterer Zahlungstermin vereinbart ist (§ 15 Abs 3 MRG).
Es darf kein früherer Zahlungstermin vereinbart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Aufrechnung von Gegenforderungen gegen den Mietzins ist –
ausgenommen im Fall der Zahlungsunfähigkeit des Vermieters –
ausgeschlossen, soweit sie nicht im rechtlichen Zusammenhang mit
dem Mietverhältnis stehen oder gerichtlich festgestellt oder vom
Vermieter anerkannt wurden.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Verhältnis zwischen Unternehmer und Verbraucher ist ein
Kompensationsverbot (Aufrechnungsverbot) sittenwidrig. Dies gilt
unter anderem auch für konnexe Gegenforderungen (§ 6
Abs 1 Z 8 KSchG). Anderes gilt im Fall eines unter
Verbrauchern abgeschlossenen Mietvertrags. Das
Konsumentenschutzgesetz (KSchG) ist nicht unmittelbar anzuwenden.
Aus dem bloßen Umstand, dass zwischen einem Vermieter und einem
Mieter ein wirtschaftliches Ungleichgewicht bestehen vermag, kann
auch nicht die analoge Anwendung von Bestimmungen des KSchG
abgeleitet werden. Daher ist ein Kompensationsverbot
(Aufrechnungsverbot) auch für konnexe Gegenforderungen des Mieters
gegen Mietzinsforderungen des Vermieters grundsätzlich
zulässig.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übergibt dem Vermieter bei Abschluss dieses
Mietvertrags als Kaution einen Geldbetrag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ist im Vollanwendungsbereich des MRG
grundsätzlich eine Kaution in Höhe von sechs Bruttomonatsmieten
zulässig; eine höhere Kaution bedarf eines besonderen
Sicherstellungsinteresses. Sollte ein solches bestehen, sollte
dieses auch unbedingt im Mietvertrag als Grund für eine höhere
Kaution festgehalten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ist zur fruchtbringenden Anlegung des
Kautionsbetrages iSd § 16b Abs 1 MRG verpflichtet. Der
Vermieter wird diesen Geldbetrag auf einem Sparbuch oder Sparkonto
anlegen, und den Mieter darüber informieren. Vorbehaltlich
Gegenforderungen wird der Vermieter dem Mieter nach Rückstellung
des Mietgegenstandes die Kaution zuzüglich Zinsen abzüglich
Veranlagungskosten ausfolgen.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Wenn die Kaution dem Vermieter nicht ohnehin bereits in Gestalt
eines Sparbuchs oder eines Sparkontos, sondern als Geldbetrag
übergeben wird, hat sie der Vermieter auf einem Sparbuch oder auf
einem Sparkonto fruchtbringend zu veranlagen und den Mieter darüber
auf Verlangen schriftlich zu informieren. Andere Arten der
Kautionsveranlagung sind zulässig, wenn sie eine gleich gute
Verzinsung – insbesondere durch Anwendbarkeit der gesetzlichen
Einlagensicherung – eine gleich hohe Sicherheit wie eine
Spareinlage bieten und wenn sie eine eindeutige Abgrenzung vom
Vermögen des Vermieters und bei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Sicherstellung für sämtliche Forderungen
des Vermieters gegen den Mieter aus dem Mietverhältnis,
insbesondere wegen Mietzinsausfällen betreffend das gegenständliche
Mietobjekt, welcher Art auch immer (einschließlich anteiliger
Betriebskosten), Abnützung, Beschädigung, Devastierung des
Mietgegenstandes, Entfernung oder Vernichtung von Inventar und
Beschädigungen anderer Teile des Hauses. Die Kaution gilt
insbesondere zur Absicherung des Vermieters für eine ordnungsgemäße
Rückgabe des Mietgegenstandes nach Beendigung des
Mietverhältnisses.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2 MRG hat der Vermieter nach Beendigung
des Mietvertrages dem Mieter die Kaution samt den aus ihrer
Veranlagung erzielten Zinsen unverzüglich zurückzustellen, soweit
sie nicht zur Tilgung von berechtigten Forderungen des Vermieters
aus dem Mietverhältnis herangezogen wird.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5. Übergabe/Übernahme</w:t>
      </w:r>
    </w:p>
    <w:p>
      <w:pPr>
        <w:widowControl w:val="on"/>
        <w:pBdr/>
        <w:spacing w:before="140" w:after="240" w:line="288" w:lineRule="auto"/>
        <w:ind w:left="0" w:right="0"/>
        <w:jc w:val="left"/>
      </w:pPr>
      <w:r>
        <w:rPr>
          <w:rFonts w:ascii="Arial" w:hAnsi="Arial" w:eastAsia="Arial" w:cs="Arial"/>
          <w:color w:val="000000"/>
          <w:sz w:val="20"/>
          <w:szCs w:val="20"/>
        </w:rPr>
        <w:t xml:space="preserve">Mit Abschluss dieses Mietvertrages mietet der Mieter das in
Punkt 1 genannte Mietobjekt zu den Bedingungen dieses
Mietvertrages. Beide Vertragsparteien bestätigen gleichzeitig, dass
sich der Mietgegenstand bei Übergabe in einem guten und brauchbaren
Zustand befunden hat.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alles für die Erhaltung des
Zustandes im Inneren des Mietobjektes zu unternehmen.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schonend zu
behandeln.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generelle Überwälzung von Erhaltungspflichten auf den Mieter,
ohne dafür ein entsprechendes Äquivalent zu gewähren, wird von der
Rechtsprechung jedoch als sachlich nicht gerechtfertigte Abweichung
vom dispositiven Recht (§§ 3 und 8 MRG) gesehen. Derartige
Vertragsklauseln werden nach der jüngeren Rechtsprechung der
Inhaltskontrolle gem § 879 Abs 3 ABGB unterzogen und
können im Einzelfall gröblich benachteiligend und nichtig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Anzeigepflicht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Werden am Mietgegenstand Ausbesserungen notwendig, deren
Vornahme dem Vermieter obliegen, so ist der Mieter bei sonstigem
Schadenersatz verpflichtet, dem Vermieter diese unverzüglich
anzuzeigen.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 Klausel entspricht § 1097 ABGB und ist nicht
sittenwidrig.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Duldungspflicht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die vorübergehende Benützung und die Veränderung
seines Mietgegenstandes zuzulassen, wenn dies zur Durchführung von
Erhaltungs- oder Verbesserungsarbeiten an allgemeinen Teilen des
Hauses oder zur Behebung ernster Schäden des Hauses in seinem oder
einem anderen Mietobjekt (Wohnungseigentumsobjekt) notwendig oder
zweckmäßig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Sicherheitsvorschriften entsprechen. Insbesondere dürfen Strom- und
Gasgeräte nicht angeschlossen werden, welche nicht den
österreichischen Sicherheitsstandards entsprechen (ÖVE udgl).</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gegenständlichen Mietvertrag nicht angeführte
Liegenschaftsteile können nur durch gesonderte schriftliche
Vereinbarung Gegenstand dieses Mietvertrages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Jegliche Tierhaltung im Mietobjekt ist nur in sachgerechter
Weise und unter Rücksichtnahme auf die schutzwürdigen Interessen
der übrigen Bewohner des Hauses zulässig. Bewirkt die Tierhaltung
Übelstände im Mietobjekt oder an den allgemeinen Teilen des Hauses
(wie insbesondere Schäden und Verunreinigungen) oder unzumutbare
Beeinträchtigungen der Hausbewohner durch Lärm,
Geruchsbelästigungen etc, so hat der Mieter über Aufforderung des
Vermieters die im Mietobjekt gehaltenen Tiere zu entfernen.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Auch wenn die Tierhaltung im Mietvertrag nicht absolut verboten,
sondern von der Zustimmung des Vermieters abhängig gemacht wurde,
kann der Vermieter die Unterlassung einer solchen Tierhaltung, die
ohne seine Bewilligung erfolgt, verlangen, ohne dass er triftige
Gründe für sein Verlangen beweisen müsste (RS0014419).</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Klausel im Mietvertrag, die ein Verbot der Haltung
jeglicher Tiere vorsieht und nicht klar zum Ausdruck bringt, dass
sie sich nicht auf artgerecht in Behältnissen gehaltene
wohnungsübliche Kleintiere bezieht, ist grundsätzlich als gröblich
benachteiligend iSv § 879 Abs 3 ABGB zu qualifizieren.
Bei anderen Tieren kann dem Vermieter ein schützenswertes Interesse
an einer Beschränkung aber nicht abgesprochen werden
(RS0126573).</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Behältnissen gehaltene, wohnungsübliche Kleintiere sind etwa
Ziervögel, Zierfische,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zwar die Möglichkeit, von Anfang an generell
Tierhaltung im Mietobjekt zu verbieten. Räumt er dem Mieter jedoch
eine von seiner Zustimmung abhängige Möglichkeit dazu ein, darf er
diese nicht willkürlich ablehnen (6 Ob 129/08a).</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vertraglich nichts vereinbart, kommt es für die Frage, ob der
Mieter im Einzelfall berechtigt ist, Haustiere zu halten, auf den
Zweck des Vertrages, auf den Ortsgebrauch und auf die Verkehrssitte
an. Danach ist das Halten der üblichen Haustiere (insbesondere von
Hunden und Katzen) regelmäßig erlaubt. Belästigungen, die über das
zu duldende Normalmaß hinausgehen, müssen aber nicht hingenommen
werden (RS0109603).</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zur Einhaltung der diesem Vertrag
als Beilage ./A angeschlossenen und einen integrierenden
Bestandteil desselben bildenden Hausordnung. Ferner bestätigt der
Mieter den Erhalt einer Kopie des Energieausweises gem
Energieausweis-Vorlage-Gesetz 2012, Beilage ./B.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 und Transportmitteln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und Transportmitteln, wie Fahrräder
und Kraftfahrräder, Fahrzeuge, Kinderwägen, usw. außerhalb des
Mietgegenstandes ist dem Mieter nur auf den rot eingezeichneten
Flächen laut Lageplan, Beilage ./C., gestattet.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den Erhalt einer Kopie des Elektrobefundes,
Beilage ./D.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Mietvertrags ist der Mieter verpflichtet,
dem Vermieter das Mietobjekt – unter Berücksichtigung der
gewöhnlichen Abnützung – in gleich gutem Zustand wie bei Übergabe
zurückzugeben.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angemessenes Benützungsentgelt in Höhe des zuletzt gezahlten
Mietzinses.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9. Untervermietung</w:t>
      </w:r>
    </w:p>
    <w:p>
      <w:pPr>
        <w:widowControl w:val="on"/>
        <w:pBdr/>
        <w:spacing w:before="140" w:after="240" w:line="288" w:lineRule="auto"/>
        <w:ind w:left="0" w:right="0"/>
        <w:jc w:val="left"/>
      </w:pPr>
      <w:r>
        <w:rPr>
          <w:rFonts w:ascii="Arial" w:hAnsi="Arial" w:eastAsia="Arial" w:cs="Arial"/>
          <w:color w:val="000000"/>
          <w:sz w:val="20"/>
          <w:szCs w:val="20"/>
        </w:rPr>
        <w:t xml:space="preserve">Der Mieter ist – vorbehaltlich des § 11 MRG – nicht
berechtigt, das Mietobjekt zur Gänze unterzuvermieten.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Auf ein vertragliches Verbot der Untervermietung kann sich der
Vermieter gem § 11 Abs 1 MRG nur berufen, wenn ein
wichtiger Grund gegen die Untervermietung vorliegt. Ein wichtiger
Grund gegen die Untervermietung liegt vor, wenn:</w:t>
      </w:r>
    </w:p>
    <w:p>
      <w:pPr>
        <w:numPr>
          <w:ilvl w:val="0"/>
          <w:numId w:val="9781241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Mietgegenstand zur Gänze untervermietet werden soll</w:t>
      </w:r>
    </w:p>
    <w:p>
      <w:pPr>
        <w:numPr>
          <w:ilvl w:val="0"/>
          <w:numId w:val="9781241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in Aussicht genommene Untermietzins eine im Vergleich zu
dem vom Untervermieter zu entrichtenden Mietzins und etwaigen
sonstigen Leistungen des Untervermieters unverhältnismäßig hohe
Gegenleistung darstellt</w:t>
      </w:r>
    </w:p>
    <w:p>
      <w:pPr>
        <w:numPr>
          <w:ilvl w:val="0"/>
          <w:numId w:val="9781241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Anzahl der Bewohner einer gemieteten Wohnung die Anzahl der
Wohnräume übersteigt oder nach der Aufnahme des Untermieters
übersteigen würde, oder</w:t>
      </w:r>
    </w:p>
    <w:p>
      <w:pPr>
        <w:numPr>
          <w:ilvl w:val="0"/>
          <w:numId w:val="97812413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Wenn mit Grund zu besorgen ist, dass der Untermieter den
Frieden der Hausgemeinschaft stören wird</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Vereinbarter Kündigungsgrund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Als wichtiger und bedeutsamer Kündigungsgrund seitens des
Vermieters iSd § 30 Abs 2 Z 13 MRG ist anzusehen,
wenn der Mietgegenstand nicht zur Befriedigung des dringenden
Wohnbedürfnisses des Mieters regelmäßig verwendet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Benützer dieses Musters sei nochmals klargemacht, dass eine
Kündigung grundsätzlich nur nach den wenigen gesetzlichen
Kündigungsgründen möglich ist und allenfalls nach dem hier
dargestellten Kündigungsgrund. Das Hinzuerfinden weiterer
Kündigungsgründe, seien sie auch noch so logisch, führt zu nichts
(vgl § 30 Abs 3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dem Mieter jederzeit das Recht zu, den
Mietvertrag iSd Bestimmungen des § 1117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in die Lage, gem
§ 1117 ABGB, die Vertragsauflösung zu erklären, sondern nur
dann, wenn die in § 1117 ABGB verwirklichten Tatbestände
vorliegen. Die Verletzung irgendeiner Nebenabrede dieses Vertrages
wird dazu regelmäßig nicht ausreichen.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11. Gerichtsstand</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vereinbaren für sämtliche Streitigkeiten
aus diesem Vertragsverhältnis die ausschließliche und alleinige
Zuständigkeit des Bezirksgerichts … [Angabe des
Bezirksgerichts].</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12. Kosten und Gebühren</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Errichtung dieses Mietvertrages trägt der
Vermieter.</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Mietvertrages für den dadurch entstandenen Aufwand vom Mieter
verlangt. Es gibt dafür keine gesetzliche Grundlage.</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Nr 147/2017 die Gebühr für Mietverträge über
Wohnraum, die ab dem 11. November 2017 abgeschlossen werden. Für
Mieter fallen somit keine Kosten für die Vergebührung des Vertrages
an.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13. Schlüssel</w:t>
      </w:r>
    </w:p>
    <w:p>
      <w:pPr>
        <w:widowControl w:val="on"/>
        <w:pBdr/>
        <w:spacing w:before="140" w:after="240" w:line="288" w:lineRule="auto"/>
        <w:ind w:left="0" w:right="0"/>
        <w:jc w:val="left"/>
      </w:pPr>
      <w:r>
        <w:rPr>
          <w:rFonts w:ascii="Arial" w:hAnsi="Arial" w:eastAsia="Arial" w:cs="Arial"/>
          <w:color w:val="000000"/>
          <w:sz w:val="20"/>
          <w:szCs w:val="20"/>
        </w:rPr>
        <w:t xml:space="preserve">Der Vermieter übergibt dem Mieter anlässlich des
Vertragsabschlusses fünf Schlüssel: … [Es folgt eine Aufzählung der
Schlüssel].</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14. Schlussbestimmungen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Parteien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Partei bestimmt ist.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12413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83448456">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7261855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6152674">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2485770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1809199">
    <w:multiLevelType w:val="hybridMultilevel"/>
    <w:lvl w:ilvl="0" w:tplc="49288452">
      <w:start w:val="1"/>
      <w:numFmt w:val="decimal"/>
      <w:lvlText w:val="%1."/>
      <w:lvlJc w:val="left"/>
      <w:pPr>
        <w:ind w:left="720" w:hanging="360"/>
      </w:pPr>
    </w:lvl>
    <w:lvl w:ilvl="1" w:tplc="49288452" w:tentative="1">
      <w:start w:val="1"/>
      <w:numFmt w:val="lowerLetter"/>
      <w:lvlText w:val="%2."/>
      <w:lvlJc w:val="left"/>
      <w:pPr>
        <w:ind w:left="1440" w:hanging="360"/>
      </w:pPr>
    </w:lvl>
    <w:lvl w:ilvl="2" w:tplc="49288452" w:tentative="1">
      <w:start w:val="1"/>
      <w:numFmt w:val="lowerRoman"/>
      <w:lvlText w:val="%3."/>
      <w:lvlJc w:val="right"/>
      <w:pPr>
        <w:ind w:left="2160" w:hanging="180"/>
      </w:pPr>
    </w:lvl>
    <w:lvl w:ilvl="3" w:tplc="49288452" w:tentative="1">
      <w:start w:val="1"/>
      <w:numFmt w:val="decimal"/>
      <w:lvlText w:val="%4."/>
      <w:lvlJc w:val="left"/>
      <w:pPr>
        <w:ind w:left="2880" w:hanging="360"/>
      </w:pPr>
    </w:lvl>
    <w:lvl w:ilvl="4" w:tplc="49288452" w:tentative="1">
      <w:start w:val="1"/>
      <w:numFmt w:val="lowerLetter"/>
      <w:lvlText w:val="%5."/>
      <w:lvlJc w:val="left"/>
      <w:pPr>
        <w:ind w:left="3600" w:hanging="360"/>
      </w:pPr>
    </w:lvl>
    <w:lvl w:ilvl="5" w:tplc="49288452" w:tentative="1">
      <w:start w:val="1"/>
      <w:numFmt w:val="lowerRoman"/>
      <w:lvlText w:val="%6."/>
      <w:lvlJc w:val="right"/>
      <w:pPr>
        <w:ind w:left="4320" w:hanging="180"/>
      </w:pPr>
    </w:lvl>
    <w:lvl w:ilvl="6" w:tplc="49288452" w:tentative="1">
      <w:start w:val="1"/>
      <w:numFmt w:val="decimal"/>
      <w:lvlText w:val="%7."/>
      <w:lvlJc w:val="left"/>
      <w:pPr>
        <w:ind w:left="5040" w:hanging="360"/>
      </w:pPr>
    </w:lvl>
    <w:lvl w:ilvl="7" w:tplc="49288452" w:tentative="1">
      <w:start w:val="1"/>
      <w:numFmt w:val="lowerLetter"/>
      <w:lvlText w:val="%8."/>
      <w:lvlJc w:val="left"/>
      <w:pPr>
        <w:ind w:left="5760" w:hanging="360"/>
      </w:pPr>
    </w:lvl>
    <w:lvl w:ilvl="8" w:tplc="49288452" w:tentative="1">
      <w:start w:val="1"/>
      <w:numFmt w:val="lowerRoman"/>
      <w:lvlText w:val="%9."/>
      <w:lvlJc w:val="right"/>
      <w:pPr>
        <w:ind w:left="6480" w:hanging="180"/>
      </w:pPr>
    </w:lvl>
  </w:abstractNum>
  <w:abstractNum w:abstractNumId="61809198">
    <w:multiLevelType w:val="hybridMultilevel"/>
    <w:lvl w:ilvl="0" w:tplc="63533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09198">
    <w:abstractNumId w:val="61809198"/>
  </w:num>
  <w:num w:numId="61809199">
    <w:abstractNumId w:val="61809199"/>
  </w:num>
  <w:num w:numId="724857702">
    <w:abstractNumId w:val="724857702"/>
  </w:num>
  <w:num w:numId="66152674">
    <w:abstractNumId w:val="66152674"/>
  </w:num>
  <w:num w:numId="572618554">
    <w:abstractNumId w:val="572618554"/>
  </w:num>
  <w:num w:numId="283448456">
    <w:abstractNumId w:val="283448456"/>
  </w:num>
  <w:num w:numId="978124130">
    <w:abstractNumId w:val="978124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97749385" Type="http://schemas.openxmlformats.org/officeDocument/2006/relationships/numbering" Target="numbering.xml"/><Relationship Id="rId29769457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